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ISTITUTO PROFESSIONALE DI STATO DEI SERVIZI PER L’ENOGASTRONOMIA E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L’OSPITALITÀ ALBERGHIERA G. MINUTO Marina di Massa</w:t>
      </w:r>
    </w:p>
    <w:p w:rsidR="00000000" w:rsidDel="00000000" w:rsidP="00000000" w:rsidRDefault="00000000" w:rsidRPr="00000000">
      <w:pPr>
        <w:contextualSpacing w:val="0"/>
        <w:jc w:val="left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PASSAGGIO ALLA CLASSE SECONDA E RELATIVO PROGRAMMA DI PRIMA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Materia: </w:t>
      </w: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LABORATORIO DEI SERVIZI ENOGASTRONOMICI - CUCINA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Libro di testo: Nuovo chef con masterlab 1° biennio, Gianni Frangini, Lemonier scuola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18"/>
                <w:szCs w:val="18"/>
                <w:rtl w:val="0"/>
              </w:rPr>
              <w:t xml:space="preserve">CONOSCENZE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18"/>
                <w:szCs w:val="18"/>
                <w:rtl w:val="0"/>
              </w:rPr>
              <w:t xml:space="preserve">ABILITA’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18"/>
                <w:szCs w:val="18"/>
                <w:rtl w:val="0"/>
              </w:rPr>
              <w:t xml:space="preserve">COMPETENZE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Figure professionali che operano nel settore enogastronomico e caratteristiche delle professioni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Ruoli e gerarchia della brigata di cucina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Deontologia professionale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Il laboratorio di cucina: le aree di lavoro, le attrezzature e gli utensili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Igiene personale, dei prodotti, dei processi di lavoro e pulizia dell’ambiente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Norme di prevenzione e sicurezza sul lavoro e rudimenti sul primo soccorso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Cenni sulla corretta utilizzazione igienica e gastronomica delle principali materie prime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Principali tecniche di produzione di salse, uova, primi piatti.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Tecniche di base di pasticceria, principali impasti e creme.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Riconoscere le principali figure professionali correlate al settore enogastronomico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Acquisire un corretto atteggiamento nei confronti della professione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Relazionarsi positivamente con i colleghi e operare nel rispetto del proprio ruolo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Rispettare il percorso delle merci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Identificare attrezzature e utensili di uso comune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Provvedere alle corrette operazioni di funzionamento ordinario delle attrezzature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Rispettare le Buone pratiche di lavorazione inerenti l’igiene personale, la preparazione, la cottura e la conservazione dei prodotti e la pulizia del laboratorio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Identificare le materie prime e i principali elementi di qualità e conservarle correttamente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Eseguire le fasi di lavorazione nella corretta sequenza per compiti semplici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Eseguire le principali tecniche di base nella produzione gastronomica di cucina e di pasticceria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Presentare i piatti nel rispetto delle regole tecniche.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18"/>
                <w:szCs w:val="18"/>
                <w:rtl w:val="0"/>
              </w:rPr>
              <w:t xml:space="preserve">DI BASE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Comprendere il cambiamento e le diversità dei tempi storici in una dimensione diacronica attraverso il confronto fra epoche e in una dimensione sincronica attraverso il confronto fra aree geografiche e culturali.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Riconoscere le caratteristiche essenziali del sistema socio economico per orientarsi nel tessuto produttivo del proprio territorio.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  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18"/>
                <w:szCs w:val="18"/>
                <w:rtl w:val="0"/>
              </w:rPr>
              <w:t xml:space="preserve">CHIAVE DI CITTADINANZA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18"/>
                <w:szCs w:val="18"/>
                <w:rtl w:val="0"/>
              </w:rPr>
              <w:t xml:space="preserve">Imparare ad imparare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18"/>
                <w:szCs w:val="18"/>
                <w:rtl w:val="0"/>
              </w:rPr>
              <w:t xml:space="preserve">Progettare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18"/>
                <w:szCs w:val="18"/>
                <w:rtl w:val="0"/>
              </w:rPr>
              <w:t xml:space="preserve">Comunicare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18"/>
                <w:szCs w:val="18"/>
                <w:rtl w:val="0"/>
              </w:rPr>
              <w:t xml:space="preserve">Collaborare e partecipare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18"/>
                <w:szCs w:val="18"/>
                <w:rtl w:val="0"/>
              </w:rPr>
              <w:t xml:space="preserve">Agire in modo autonome e responsabile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18"/>
                <w:szCs w:val="18"/>
                <w:rtl w:val="0"/>
              </w:rPr>
              <w:t xml:space="preserve">Risolvere problemi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color w:val="444444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18"/>
                <w:szCs w:val="18"/>
                <w:rtl w:val="0"/>
              </w:rPr>
              <w:t xml:space="preserve">Individuare collegamenti e relazioni</w:t>
            </w:r>
          </w:p>
          <w:p w:rsidR="00000000" w:rsidDel="00000000" w:rsidP="00000000" w:rsidRDefault="00000000" w:rsidRPr="00000000">
            <w:pPr>
              <w:pBdr>
                <w:top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320" w:lineRule="auto"/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444444"/>
                <w:sz w:val="18"/>
                <w:szCs w:val="18"/>
                <w:rtl w:val="0"/>
              </w:rPr>
              <w:t xml:space="preserve">Acquisire e interpretare l’informazione.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ab/>
              <w:tab/>
            </w:r>
          </w:p>
        </w:tc>
      </w:tr>
    </w:tbl>
    <w:p w:rsidR="00000000" w:rsidDel="00000000" w:rsidP="00000000" w:rsidRDefault="00000000" w:rsidRPr="00000000">
      <w:pPr>
        <w:spacing w:after="160" w:line="259" w:lineRule="auto"/>
        <w:contextualSpacing w:val="0"/>
        <w:jc w:val="left"/>
        <w:rPr>
          <w:rFonts w:ascii="Trebuchet MS" w:cs="Trebuchet MS" w:eastAsia="Trebuchet MS" w:hAnsi="Trebuchet MS"/>
          <w:b w:val="1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rtl w:val="0"/>
        </w:rPr>
        <w:t xml:space="preserve">CONTENUTI</w:t>
      </w:r>
    </w:p>
    <w:tbl>
      <w:tblPr>
        <w:tblStyle w:val="Table2"/>
        <w:tblW w:w="9000.0" w:type="dxa"/>
        <w:jc w:val="left"/>
        <w:tblInd w:w="6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10"/>
        <w:gridCol w:w="6090"/>
        <w:tblGridChange w:id="0">
          <w:tblGrid>
            <w:gridCol w:w="2910"/>
            <w:gridCol w:w="609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TITOLO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CONTENUTI Essenziali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Il mondo della ristorazione e la professione.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professione del cuoco.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Storia della cucina.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ristorazione tradizionale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ristorazione collettiva.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neoristorazione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Etica professionale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Comportamento corretto sul posto di lavoro;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Etica professionale.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Igiene e sicurezza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divisa di cucina: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composizione, storia, cura.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Igiene degli ambienti: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sanificazione delle superfici;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riassetto del laboratorio.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Igiene personale.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lavaggio taglieri e coltelleria.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Il rischio di infortuni in cucina.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norme per evitare gli infortuni.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I locali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struttura del reparto cucina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zona di ricevimento e stoccaggio merci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zona preparazione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zona cottura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Il passe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Le attrezzature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 e gli utensili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grande attrezzatura: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piccola attrezzatura: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batteria di cucina;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piccola utensileria.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Piccoli apparecchi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Il personale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addetti del reparto cucina.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Gerarchia della brigata.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brigata classica.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Le materie prime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uova: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composizione;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utilizzo in cucina;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cotture con guscio e senza guscio.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cereali: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principali cereali;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utilizzo in cucina;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Il riso: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classificazione;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utilizzo in cucina.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ortaggi: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classificazione;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lavaggio e pulizia.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Tecniche di base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Il concetto di mise en place.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Allestimento della postazione di lavoro;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Lavaggio e pulizia degli ortaggi;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Tagli di 1°, 2° e 3° grado;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cotture di base.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Le preparazioni di base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brodi (teoria e pratica).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fondi di cucina (teoria e pratica).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Elementi addensanti: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roux.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impasti di base: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pasta povera, pasta brisèe, pasta fresca (teoria e pratica).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Le salse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salse calde.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salse fredde.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salse madri..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salse per i primi piatti.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(teoria e pratica)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Le minestre e i primi piatti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(teoria e pratica)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minestre chiare: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brodi.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minestre dense 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creme, vellutate, passati.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pasta fresca all’uovo e non all’uovo.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paste alimentari secche.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primi piatti asciutti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primi piatti a base di riso: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riso pilaf, risotto,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crespelle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gnocchi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paste ripiene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paste gratinate.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rtl w:val="0"/>
              </w:rPr>
              <w:t xml:space="preserve">La pasticceria di base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(teoria e pratica)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pasta frolla.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crema pasticcera.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Il pan di spagna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Panna montata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Torta della nonna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Crostata alla fiorentina.</w:t>
            </w:r>
          </w:p>
        </w:tc>
      </w:tr>
    </w:tbl>
    <w:p w:rsidR="00000000" w:rsidDel="00000000" w:rsidP="00000000" w:rsidRDefault="00000000" w:rsidRPr="00000000">
      <w:pPr>
        <w:spacing w:after="160" w:line="259" w:lineRule="auto"/>
        <w:contextualSpacing w:val="0"/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jc w:val="left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TIPOLOGIA DELLA PROVA DA EFFETTUARE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n° 1 Prova orale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                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                             </w:t>
      </w: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 IL REFERENTE DEL DIPARTIMENTO DISCIPLINARE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                                                                                                            Matteo Castelliti 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             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